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CCD" w:rsidRPr="00D65440" w:rsidRDefault="00B42CCD" w:rsidP="00B42CCD">
      <w:pPr>
        <w:pStyle w:val="Heading1"/>
      </w:pPr>
      <w:r w:rsidRPr="00D65440">
        <w:t>AMINOMETHYL PROPANOL    CAS # 124685</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HAZARD INDEX    .   .   .   .   .   .   G   .   .   .   .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2   0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LD50  2900.0 mg/Kg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1.4 - LC50         </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ROUTE OF EXPOSURE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nhalation: May be harmful if inhaled. Material is irritating to</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VAPOR PRESSURE .800 mm Hg @ 20 °C</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FLASH POINT  154.4 °F</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STORAGE GROUP(S):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INCOMPATIBILITIES:Oxidizing agents, Strong acids Copper, Copper alloys,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Brass, Aluminum.</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Store at -20°C</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Store under inert gas. Air sensitive.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and open flame. Store in a cool dry</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place. Store under nitr</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from heat and open flame. Store in a cool dry place. Store under nitrogen\.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Store at -20░C SPECIAL REQUIREMENTS  Store under inert gas. Air sensitive.</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36/38 52/53</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METHODS FOR CLEANING UP</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Absorb on sand or vermiculite and place in closed containers for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disposal. Ventilate area and wash spill site after material</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pickup is complete.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7 - Handling and Storage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HANDLING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vapor. Avoid contact with eyes,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skin, and clothing. Avoid prolonged or repeated exposure.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STORAGE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Suitable: Keep tightly closed.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8 - Exposure Controls / PPE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ENGINEERING CONTROLS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Mechanical exhaust required. Safety shower and eye bath.</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PERSONAL PROTECTIVE EQUIPMENT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Respiratory: Government approved respirator.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Hand: Compatible chemical-resistant gloves.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Eye: Chemical safety goggles.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GENERAL HYGIENE MEASURES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Wash thoroughly after handling.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9 - Physical/Chemical Properties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Appearance              Physical State: Liquid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Property                Value               At Temperature or Pressure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Molecular Weight        671.1 AMU</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pH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BP/BP Range             178 ░C              760 mmHg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MP/MP Range             -52 ░C</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Freezing Point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Vapor Pressure          1.3 mmHg            25 ░C</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Vapor Density           23.3 g/l</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Saturated Vapor Conc.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SG/Density              1.89 g/cm3</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Bulk Density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Odor Threshold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Volatile%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VOC Content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Water Content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Solvent Content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Evaporation Rate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Viscosity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Surface Tension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Partition Coefficient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Decomposition Temp.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Flash Point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Explosion Limits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Flammability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Autoignition Temp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Refractive Index        1.3</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Optical Rotation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Miscellaneous Data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lastRenderedPageBreak/>
        <w:t>Solubility              N/A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N/A = not available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10 - Stability and Reactivity</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STABILITY</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Stable: Stable.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Materials to Avoid: Finely powdered metals, Alkali metals.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HAZARDOUS DECOMPOSITION PRODUCTS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Hazardous Decomposition Products: Carbon monoxide, Carbon dioxide,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Nitrogen oxides, Hydrogen fluoride, May also form</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perfluoroisobutylene.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HAZARDOUS POLYMERIZATION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Hazardous Polymerization: Will not occur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11 - Toxicological Information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ROUTE OF EXPOSURE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respiratory tract. May be harmful if inhaled.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TOXICITY DATA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Oral</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Rat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&gt; 10000 mg/kg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LD50</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Intravenous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Mouse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12 GM/KG</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LD50</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12 - Ecological Information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No data available.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13 - Disposal Considerations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APPROPRIATE METHOD OF DISPOSAL OF SUBSTANCE OR PREPARATION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Contact a licensed professional waste disposal service to dispose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of this material. Dissolve or mix the material with a combustible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solvent and burn in a chemical incinerator equipped with an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afterburner and scrubber. Observe all federal, state, and local</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environmental regulations.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Section 14 - Transport Information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DOT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Proper Shipping Name: None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Non-Hazardous for Transport: This substance is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considered to be non-hazardous for transport.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IATA</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Non-Hazardous for Air Transport: Non-hazardous for air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transport.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lastRenderedPageBreak/>
        <w:t>Section 15 - Regulatory Information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.03 mg/m3</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.075 mg/m3</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DOE Ceiling Limit .6 mg/m3</w:t>
      </w:r>
    </w:p>
    <w:p w:rsidR="00B42CCD" w:rsidRPr="00D65440" w:rsidRDefault="00B42CCD" w:rsidP="00B42CC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mg/m3AMINOMETHYL PROPANOL    </w:t>
      </w:r>
    </w:p>
    <w:p w:rsidR="00B42CCD" w:rsidRPr="00D65440" w:rsidRDefault="00B42CCD" w:rsidP="00B42CCD">
      <w:pPr>
        <w:pStyle w:val="PlainText"/>
        <w:rPr>
          <w:rFonts w:ascii="Courier New" w:hAnsi="Courier New" w:cs="Courier New"/>
          <w:sz w:val="20"/>
          <w:szCs w:val="20"/>
        </w:rPr>
      </w:pPr>
    </w:p>
    <w:p w:rsidR="00B42CCD" w:rsidRPr="00D65440" w:rsidRDefault="00B42CCD" w:rsidP="00B42CC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42CC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CCD"/>
    <w:rsid w:val="003F40DA"/>
    <w:rsid w:val="00B42CC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2CC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CCD"/>
    <w:rPr>
      <w:rFonts w:ascii="Courier New" w:eastAsiaTheme="majorEastAsia" w:hAnsi="Courier New" w:cstheme="majorBidi"/>
      <w:b/>
      <w:bCs/>
      <w:sz w:val="20"/>
      <w:szCs w:val="28"/>
    </w:rPr>
  </w:style>
  <w:style w:type="paragraph" w:styleId="NoSpacing">
    <w:name w:val="No Spacing"/>
    <w:autoRedefine/>
    <w:uiPriority w:val="1"/>
    <w:qFormat/>
    <w:rsid w:val="00B42CCD"/>
    <w:pPr>
      <w:spacing w:after="0" w:line="240" w:lineRule="auto"/>
      <w:jc w:val="both"/>
    </w:pPr>
    <w:rPr>
      <w:sz w:val="18"/>
    </w:rPr>
  </w:style>
  <w:style w:type="paragraph" w:styleId="PlainText">
    <w:name w:val="Plain Text"/>
    <w:basedOn w:val="Normal"/>
    <w:link w:val="PlainTextChar"/>
    <w:uiPriority w:val="99"/>
    <w:unhideWhenUsed/>
    <w:rsid w:val="00B42CC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2CC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2CC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CCD"/>
    <w:rPr>
      <w:rFonts w:ascii="Courier New" w:eastAsiaTheme="majorEastAsia" w:hAnsi="Courier New" w:cstheme="majorBidi"/>
      <w:b/>
      <w:bCs/>
      <w:sz w:val="20"/>
      <w:szCs w:val="28"/>
    </w:rPr>
  </w:style>
  <w:style w:type="paragraph" w:styleId="NoSpacing">
    <w:name w:val="No Spacing"/>
    <w:autoRedefine/>
    <w:uiPriority w:val="1"/>
    <w:qFormat/>
    <w:rsid w:val="00B42CCD"/>
    <w:pPr>
      <w:spacing w:after="0" w:line="240" w:lineRule="auto"/>
      <w:jc w:val="both"/>
    </w:pPr>
    <w:rPr>
      <w:sz w:val="18"/>
    </w:rPr>
  </w:style>
  <w:style w:type="paragraph" w:styleId="PlainText">
    <w:name w:val="Plain Text"/>
    <w:basedOn w:val="Normal"/>
    <w:link w:val="PlainTextChar"/>
    <w:uiPriority w:val="99"/>
    <w:unhideWhenUsed/>
    <w:rsid w:val="00B42CC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2CC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